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FB415C" w:rsidRPr="00D973CC" w:rsidTr="00790ABB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FB415C" w:rsidRPr="0047337C" w:rsidTr="00790ABB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FB415C" w:rsidRDefault="00FB415C" w:rsidP="00FB415C">
            <w:pPr>
              <w:spacing w:after="0" w:line="240" w:lineRule="auto"/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FB415C" w:rsidRPr="0047337C" w:rsidTr="00790ABB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733425"/>
                        <wp:effectExtent l="19050" t="0" r="9525" b="0"/>
                        <wp:docPr id="3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FB415C" w:rsidRDefault="00FB415C" w:rsidP="00FB415C">
            <w:pPr>
              <w:spacing w:after="0" w:line="240" w:lineRule="auto"/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FB415C" w:rsidRPr="0047337C" w:rsidTr="00790ABB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4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B415C" w:rsidRPr="0047337C" w:rsidRDefault="00FB415C" w:rsidP="00FB415C">
                  <w:pPr>
                    <w:spacing w:after="0" w:line="240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FB415C" w:rsidRDefault="00FB415C" w:rsidP="00FB415C">
            <w:pPr>
              <w:spacing w:after="0" w:line="240" w:lineRule="auto"/>
            </w:pPr>
          </w:p>
        </w:tc>
      </w:tr>
    </w:tbl>
    <w:p w:rsidR="00FB415C" w:rsidRDefault="00FB415C" w:rsidP="00FB415C">
      <w:pPr>
        <w:spacing w:after="0" w:line="240" w:lineRule="auto"/>
        <w:rPr>
          <w:sz w:val="28"/>
          <w:szCs w:val="28"/>
        </w:rPr>
      </w:pPr>
    </w:p>
    <w:p w:rsidR="00FB415C" w:rsidRPr="00EB3B68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415C" w:rsidRPr="00EB3B68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FB415C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FB415C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5C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415C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пятнадцатого заседания Совета депутатов </w:t>
      </w:r>
    </w:p>
    <w:p w:rsidR="00FB415C" w:rsidRPr="00223700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сельсовета второго созыва </w:t>
      </w:r>
    </w:p>
    <w:p w:rsidR="00FB415C" w:rsidRPr="00E72FF6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5C" w:rsidRPr="00E72FF6" w:rsidRDefault="00FB415C" w:rsidP="00FB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72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2023</w:t>
      </w:r>
      <w:r w:rsidRPr="00E72FF6">
        <w:rPr>
          <w:rFonts w:ascii="Times New Roman" w:hAnsi="Times New Roman" w:cs="Times New Roman"/>
          <w:sz w:val="28"/>
          <w:szCs w:val="28"/>
        </w:rPr>
        <w:t xml:space="preserve"> года                      с.Спасское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121</w:t>
      </w:r>
    </w:p>
    <w:p w:rsidR="00FB415C" w:rsidRDefault="00FB415C" w:rsidP="00FB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5C" w:rsidRPr="00BB5CA6" w:rsidRDefault="00FB415C" w:rsidP="00FB4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отзыве полномочий </w:t>
      </w:r>
      <w:r w:rsidRPr="00ED0181">
        <w:rPr>
          <w:rFonts w:ascii="Times New Roman" w:hAnsi="Times New Roman" w:cs="Times New Roman"/>
          <w:sz w:val="28"/>
          <w:szCs w:val="28"/>
        </w:rPr>
        <w:t>«Осуществление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181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нных а</w:t>
      </w:r>
      <w:r w:rsidRPr="00ED018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1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B5C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A6">
        <w:rPr>
          <w:rFonts w:ascii="Times New Roman" w:hAnsi="Times New Roman" w:cs="Times New Roman"/>
          <w:sz w:val="28"/>
          <w:szCs w:val="28"/>
        </w:rPr>
        <w:t xml:space="preserve">Спасского сельсовета второго созыва </w:t>
      </w:r>
      <w:r>
        <w:rPr>
          <w:rFonts w:ascii="Times New Roman" w:hAnsi="Times New Roman" w:cs="Times New Roman"/>
          <w:sz w:val="28"/>
          <w:szCs w:val="28"/>
        </w:rPr>
        <w:t>от 20.12.2022 №77.</w:t>
      </w:r>
    </w:p>
    <w:p w:rsidR="00FB415C" w:rsidRPr="00FC1E78" w:rsidRDefault="00FB415C" w:rsidP="00FB415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B415C" w:rsidRPr="00FC1E78" w:rsidRDefault="00FB415C" w:rsidP="00FB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15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года  № 131-ФЗ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CA6">
        <w:rPr>
          <w:color w:val="000000"/>
          <w:spacing w:val="-4"/>
        </w:rPr>
        <w:t xml:space="preserve"> </w:t>
      </w:r>
      <w:r w:rsidRPr="00BB5C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Бюджетным кодексом Российской Федерации, </w:t>
      </w:r>
      <w:r w:rsidRPr="00BB5CA6">
        <w:rPr>
          <w:rFonts w:ascii="Times New Roman" w:hAnsi="Times New Roman" w:cs="Times New Roman"/>
          <w:sz w:val="28"/>
          <w:szCs w:val="28"/>
        </w:rPr>
        <w:t>Уставом муниципального образования Спасский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в  связи со сложившимися условиями и возможностью наиболее эффективного осуществления</w:t>
      </w:r>
      <w:r w:rsidRPr="00BB5CA6">
        <w:rPr>
          <w:rFonts w:ascii="Times New Roman" w:hAnsi="Times New Roman" w:cs="Times New Roman"/>
          <w:sz w:val="28"/>
          <w:szCs w:val="28"/>
        </w:rPr>
        <w:t xml:space="preserve"> </w:t>
      </w:r>
      <w:r w:rsidRPr="00ED0181">
        <w:rPr>
          <w:rFonts w:ascii="Times New Roman" w:hAnsi="Times New Roman" w:cs="Times New Roman"/>
          <w:sz w:val="28"/>
          <w:szCs w:val="28"/>
        </w:rPr>
        <w:t>организации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Спасского сельсовета самостоятельно </w:t>
      </w:r>
      <w:r w:rsidRPr="00FC1E78">
        <w:rPr>
          <w:rFonts w:ascii="Times New Roman" w:hAnsi="Times New Roman" w:cs="Times New Roman"/>
          <w:sz w:val="28"/>
          <w:szCs w:val="28"/>
        </w:rPr>
        <w:t xml:space="preserve">Совет депутатов Спасского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78">
        <w:rPr>
          <w:rFonts w:ascii="Times New Roman" w:hAnsi="Times New Roman" w:cs="Times New Roman"/>
          <w:sz w:val="28"/>
          <w:szCs w:val="28"/>
        </w:rPr>
        <w:t>РЕШИЛ:</w:t>
      </w:r>
    </w:p>
    <w:p w:rsidR="00FB415C" w:rsidRPr="00FC1E78" w:rsidRDefault="00FB415C" w:rsidP="00FB4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15C" w:rsidRDefault="00FB415C" w:rsidP="00FB415C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677493">
        <w:rPr>
          <w:rFonts w:ascii="Times New Roman" w:hAnsi="Times New Roman" w:cs="Times New Roman"/>
          <w:sz w:val="28"/>
          <w:szCs w:val="28"/>
        </w:rPr>
        <w:t xml:space="preserve">Отозвать исполнение полномочий </w:t>
      </w:r>
      <w:r w:rsidRPr="00ED0181">
        <w:rPr>
          <w:rFonts w:ascii="Times New Roman" w:hAnsi="Times New Roman" w:cs="Times New Roman"/>
          <w:sz w:val="28"/>
          <w:szCs w:val="28"/>
        </w:rPr>
        <w:t>«Осуществление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181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нных а</w:t>
      </w:r>
      <w:r w:rsidRPr="00ED018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1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B5C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A6">
        <w:rPr>
          <w:rFonts w:ascii="Times New Roman" w:hAnsi="Times New Roman" w:cs="Times New Roman"/>
          <w:sz w:val="28"/>
          <w:szCs w:val="28"/>
        </w:rPr>
        <w:t xml:space="preserve">Спасского сельсовета второго созыва </w:t>
      </w:r>
      <w:r>
        <w:rPr>
          <w:rFonts w:ascii="Times New Roman" w:hAnsi="Times New Roman" w:cs="Times New Roman"/>
          <w:sz w:val="28"/>
          <w:szCs w:val="28"/>
        </w:rPr>
        <w:t>от 20.12.2022 №77.</w:t>
      </w:r>
    </w:p>
    <w:p w:rsidR="00FB415C" w:rsidRPr="00677493" w:rsidRDefault="00FB415C" w:rsidP="00FB415C">
      <w:pPr>
        <w:pStyle w:val="a3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7493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(Лашманов А.Н.).</w:t>
      </w:r>
    </w:p>
    <w:p w:rsidR="00FB415C" w:rsidRPr="00FC1E78" w:rsidRDefault="00FB415C" w:rsidP="00FB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E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C1E78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 муниципального образования Спасский сельсовет Саракташского района Оренбургской области.</w:t>
      </w:r>
    </w:p>
    <w:p w:rsidR="00FB415C" w:rsidRPr="00FC1E78" w:rsidRDefault="00FB415C" w:rsidP="00FB415C">
      <w:pPr>
        <w:spacing w:after="0" w:line="240" w:lineRule="auto"/>
        <w:rPr>
          <w:rFonts w:ascii="Times New Roman" w:hAnsi="Times New Roman" w:cs="Times New Roman"/>
        </w:rPr>
      </w:pPr>
    </w:p>
    <w:p w:rsidR="00FB415C" w:rsidRPr="00FC1E78" w:rsidRDefault="00FB415C" w:rsidP="00FB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415C" w:rsidRPr="00FC1E78" w:rsidRDefault="00FB415C" w:rsidP="00FB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 Магомедов</w:t>
      </w:r>
    </w:p>
    <w:p w:rsidR="00FB415C" w:rsidRPr="00FC1E78" w:rsidRDefault="00FB415C" w:rsidP="00FB415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44D7C" w:rsidRPr="00FB415C" w:rsidRDefault="00FB415C" w:rsidP="00FB415C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C1E78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официальный сайт сельсовета, администрации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C44D7C" w:rsidRPr="00FB415C" w:rsidSect="001675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895"/>
    <w:multiLevelType w:val="hybridMultilevel"/>
    <w:tmpl w:val="62DE3770"/>
    <w:lvl w:ilvl="0" w:tplc="B2FACC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15C"/>
    <w:rsid w:val="00946FE9"/>
    <w:rsid w:val="00C44D7C"/>
    <w:rsid w:val="00E026EE"/>
    <w:rsid w:val="00F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2024-01-29T07:02:00Z</dcterms:created>
  <dcterms:modified xsi:type="dcterms:W3CDTF">2024-01-29T07:02:00Z</dcterms:modified>
</cp:coreProperties>
</file>